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36F74C3" w14:textId="33FBBFD9" w:rsidR="00EB5D80" w:rsidRPr="00EB5D80" w:rsidRDefault="00EB5D80" w:rsidP="00EB5D80">
      <w:pPr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EB5D80">
        <w:rPr>
          <w:rFonts w:ascii="Arial" w:hAnsi="Arial" w:cs="Arial"/>
          <w:sz w:val="24"/>
          <w:szCs w:val="24"/>
        </w:rPr>
        <w:t>Antes do uso, o solo comercial adubado (14% de matéria orgânica, pH6,80) foi peneirado com peneira de 0,2 micrômetro, seco e separado em vasos com área de 0,025m</w:t>
      </w:r>
      <w:r w:rsidRPr="00AC52A6">
        <w:rPr>
          <w:rFonts w:ascii="Arial" w:hAnsi="Arial" w:cs="Arial"/>
          <w:sz w:val="24"/>
          <w:szCs w:val="24"/>
          <w:vertAlign w:val="superscript"/>
        </w:rPr>
        <w:t>2</w:t>
      </w:r>
      <w:r w:rsidRPr="00EB5D80">
        <w:rPr>
          <w:rFonts w:ascii="Arial" w:hAnsi="Arial" w:cs="Arial"/>
          <w:sz w:val="24"/>
          <w:szCs w:val="24"/>
        </w:rPr>
        <w:t xml:space="preserve"> cada, e mantido úmido em estufa aquecida a 25 ° C</w:t>
      </w:r>
      <w:r w:rsidR="00AC52A6">
        <w:rPr>
          <w:rFonts w:ascii="Arial" w:hAnsi="Arial" w:cs="Arial"/>
          <w:sz w:val="24"/>
          <w:szCs w:val="24"/>
        </w:rPr>
        <w:t xml:space="preserve"> Ppor</w:t>
      </w:r>
      <w:r w:rsidRPr="00EB5D80">
        <w:rPr>
          <w:rFonts w:ascii="Arial" w:hAnsi="Arial" w:cs="Arial"/>
          <w:sz w:val="24"/>
          <w:szCs w:val="24"/>
        </w:rPr>
        <w:t xml:space="preserve"> 15 dias. Duas amostras de solo não tratadas foram utilizadas como controle negativo. Cada tratamento (nanopartículas de zeína, nanopartículas de zeína carreadas com óleo de n</w:t>
      </w:r>
      <w:r w:rsidR="00AC52A6">
        <w:rPr>
          <w:rFonts w:ascii="Arial" w:hAnsi="Arial" w:cs="Arial"/>
          <w:sz w:val="24"/>
          <w:szCs w:val="24"/>
        </w:rPr>
        <w:t>ee</w:t>
      </w:r>
      <w:r w:rsidRPr="00EB5D80">
        <w:rPr>
          <w:rFonts w:ascii="Arial" w:hAnsi="Arial" w:cs="Arial"/>
          <w:sz w:val="24"/>
          <w:szCs w:val="24"/>
        </w:rPr>
        <w:t>m e óleo de n</w:t>
      </w:r>
      <w:r w:rsidR="00AC52A6">
        <w:rPr>
          <w:rFonts w:ascii="Arial" w:hAnsi="Arial" w:cs="Arial"/>
          <w:sz w:val="24"/>
          <w:szCs w:val="24"/>
        </w:rPr>
        <w:t>ee</w:t>
      </w:r>
      <w:r w:rsidRPr="00EB5D80">
        <w:rPr>
          <w:rFonts w:ascii="Arial" w:hAnsi="Arial" w:cs="Arial"/>
          <w:sz w:val="24"/>
          <w:szCs w:val="24"/>
        </w:rPr>
        <w:t>m) foi testado em duplicata</w:t>
      </w:r>
      <w:r w:rsidR="00AC52A6">
        <w:rPr>
          <w:rFonts w:ascii="Arial" w:hAnsi="Arial" w:cs="Arial"/>
          <w:sz w:val="24"/>
          <w:szCs w:val="24"/>
        </w:rPr>
        <w:t xml:space="preserve">. </w:t>
      </w:r>
      <w:r w:rsidRPr="00EB5D80">
        <w:rPr>
          <w:rFonts w:ascii="Arial" w:hAnsi="Arial" w:cs="Arial"/>
          <w:sz w:val="24"/>
          <w:szCs w:val="24"/>
        </w:rPr>
        <w:t>As aplicações das formulações (usando sprays) foram baseadas na dosagem e no número de aplicações de óleo de n</w:t>
      </w:r>
      <w:r w:rsidR="00AC52A6">
        <w:rPr>
          <w:rFonts w:ascii="Arial" w:hAnsi="Arial" w:cs="Arial"/>
          <w:sz w:val="24"/>
          <w:szCs w:val="24"/>
        </w:rPr>
        <w:t>ee</w:t>
      </w:r>
      <w:r w:rsidRPr="00EB5D80">
        <w:rPr>
          <w:rFonts w:ascii="Arial" w:hAnsi="Arial" w:cs="Arial"/>
          <w:sz w:val="24"/>
          <w:szCs w:val="24"/>
        </w:rPr>
        <w:t>m empregadas no campo (três aplicações foram realizadas na mesma amostra em intervalos de 7 dias, usando uma solução de 5mg / mL em uma dosagem de 100 l / ha).</w:t>
      </w:r>
    </w:p>
    <w:p w14:paraId="35DF25AC" w14:textId="4A4050F7" w:rsidR="00EB5D80" w:rsidRPr="00EB5D80" w:rsidRDefault="00EB5D80" w:rsidP="00EB5D80">
      <w:pPr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EB5D80">
        <w:rPr>
          <w:rFonts w:ascii="Arial" w:hAnsi="Arial" w:cs="Arial"/>
          <w:sz w:val="24"/>
          <w:szCs w:val="24"/>
        </w:rPr>
        <w:t>A extração do DNA dos microrganismos do solo foi realizada 7, 14, 21 e 30 dias após a primeira aplicação dos tratamentos, utilizando um Kit de Isolamento de DNA Power Soil (MoBio Laboratories). A quantific</w:t>
      </w:r>
      <w:r w:rsidR="00AC52A6">
        <w:rPr>
          <w:rFonts w:ascii="Arial" w:hAnsi="Arial" w:cs="Arial"/>
          <w:sz w:val="24"/>
          <w:szCs w:val="24"/>
        </w:rPr>
        <w:t>ação</w:t>
      </w:r>
      <w:r w:rsidRPr="00EB5D80">
        <w:rPr>
          <w:rFonts w:ascii="Arial" w:hAnsi="Arial" w:cs="Arial"/>
          <w:sz w:val="24"/>
          <w:szCs w:val="24"/>
        </w:rPr>
        <w:t xml:space="preserve"> do material g</w:t>
      </w:r>
      <w:r w:rsidR="00AC52A6">
        <w:rPr>
          <w:rFonts w:ascii="Arial" w:hAnsi="Arial" w:cs="Arial"/>
          <w:sz w:val="24"/>
          <w:szCs w:val="24"/>
        </w:rPr>
        <w:t>ê</w:t>
      </w:r>
      <w:r w:rsidRPr="00EB5D80">
        <w:rPr>
          <w:rFonts w:ascii="Arial" w:hAnsi="Arial" w:cs="Arial"/>
          <w:sz w:val="24"/>
          <w:szCs w:val="24"/>
        </w:rPr>
        <w:t xml:space="preserve">nico foi realizada por </w:t>
      </w:r>
      <w:r w:rsidR="00AC52A6" w:rsidRPr="00EB5D80">
        <w:rPr>
          <w:rFonts w:ascii="Arial" w:hAnsi="Arial" w:cs="Arial"/>
          <w:sz w:val="24"/>
          <w:szCs w:val="24"/>
        </w:rPr>
        <w:t>fluores</w:t>
      </w:r>
      <w:r w:rsidR="00AC52A6">
        <w:rPr>
          <w:rFonts w:ascii="Arial" w:hAnsi="Arial" w:cs="Arial"/>
          <w:sz w:val="24"/>
          <w:szCs w:val="24"/>
        </w:rPr>
        <w:t>cência</w:t>
      </w:r>
      <w:r w:rsidRPr="00EB5D80">
        <w:rPr>
          <w:rFonts w:ascii="Arial" w:hAnsi="Arial" w:cs="Arial"/>
          <w:sz w:val="24"/>
          <w:szCs w:val="24"/>
        </w:rPr>
        <w:t>, utilizando kit Qubit dsDNA BR (Invitrogen). Todas as amostras foram diluídas para concentrações finais de 1000 ng / mL.</w:t>
      </w:r>
    </w:p>
    <w:p w14:paraId="01732F91" w14:textId="5276B6BA" w:rsidR="00EB5D80" w:rsidRDefault="00EB5D80" w:rsidP="00EB5D80">
      <w:pPr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EB5D80">
        <w:rPr>
          <w:rFonts w:ascii="Arial" w:hAnsi="Arial" w:cs="Arial"/>
          <w:sz w:val="24"/>
          <w:szCs w:val="24"/>
        </w:rPr>
        <w:t>Reações em cadeia da polimerase em tempo real (qPCR) foram realizadas para genes específicos de bactérias do ciclo do nitrogênio: nifH (fixação de nitrogênio), nirK, nirS, narG, cnorB e nosZ (desnitrificação). O gene do RNA 16S bacteriano foi utilizado como referência. As reações foram realizadas utilizando 1 μL de amostra de DNA, 12,5 μL de Planium SYBR Green qPCR SuperMix-UDG com ROX (Invitrogen), 1 μL de cada primer (</w:t>
      </w:r>
      <w:r w:rsidR="00AC52A6">
        <w:rPr>
          <w:rFonts w:ascii="Arial" w:hAnsi="Arial" w:cs="Arial"/>
          <w:sz w:val="24"/>
          <w:szCs w:val="24"/>
        </w:rPr>
        <w:t>sense e anti-sense)</w:t>
      </w:r>
      <w:r w:rsidRPr="00EB5D80">
        <w:rPr>
          <w:rFonts w:ascii="Arial" w:hAnsi="Arial" w:cs="Arial"/>
          <w:sz w:val="24"/>
          <w:szCs w:val="24"/>
        </w:rPr>
        <w:t xml:space="preserve"> e água ultrapura suficiente para completar o volume final</w:t>
      </w:r>
      <w:r w:rsidR="00AC52A6">
        <w:rPr>
          <w:rFonts w:ascii="Arial" w:hAnsi="Arial" w:cs="Arial"/>
          <w:sz w:val="24"/>
          <w:szCs w:val="24"/>
        </w:rPr>
        <w:t xml:space="preserve"> de</w:t>
      </w:r>
      <w:r w:rsidRPr="00EB5D80">
        <w:rPr>
          <w:rFonts w:ascii="Arial" w:hAnsi="Arial" w:cs="Arial"/>
          <w:sz w:val="24"/>
          <w:szCs w:val="24"/>
        </w:rPr>
        <w:t xml:space="preserve"> 25 μL. As amplificações foram realizadas de acordo com </w:t>
      </w:r>
      <w:r w:rsidR="00AC52A6">
        <w:rPr>
          <w:rFonts w:ascii="Arial" w:hAnsi="Arial" w:cs="Arial"/>
          <w:sz w:val="24"/>
          <w:szCs w:val="24"/>
        </w:rPr>
        <w:t xml:space="preserve">metodologia </w:t>
      </w:r>
      <w:r w:rsidRPr="00EB5D80">
        <w:rPr>
          <w:rFonts w:ascii="Arial" w:hAnsi="Arial" w:cs="Arial"/>
          <w:sz w:val="24"/>
          <w:szCs w:val="24"/>
        </w:rPr>
        <w:t>adaptad</w:t>
      </w:r>
      <w:r w:rsidR="00AC52A6">
        <w:rPr>
          <w:rFonts w:ascii="Arial" w:hAnsi="Arial" w:cs="Arial"/>
          <w:sz w:val="24"/>
          <w:szCs w:val="24"/>
        </w:rPr>
        <w:t>a</w:t>
      </w:r>
      <w:r w:rsidRPr="00EB5D80">
        <w:rPr>
          <w:rFonts w:ascii="Arial" w:hAnsi="Arial" w:cs="Arial"/>
          <w:sz w:val="24"/>
          <w:szCs w:val="24"/>
        </w:rPr>
        <w:t xml:space="preserve"> de Jung et al. (2011) usando </w:t>
      </w:r>
      <w:r w:rsidR="00AC52A6">
        <w:rPr>
          <w:rFonts w:ascii="Arial" w:hAnsi="Arial" w:cs="Arial"/>
          <w:sz w:val="24"/>
          <w:szCs w:val="24"/>
        </w:rPr>
        <w:t xml:space="preserve">o </w:t>
      </w:r>
      <w:r w:rsidRPr="00EB5D80">
        <w:rPr>
          <w:rFonts w:ascii="Arial" w:hAnsi="Arial" w:cs="Arial"/>
          <w:sz w:val="24"/>
          <w:szCs w:val="24"/>
        </w:rPr>
        <w:t>termociclador StepOne (Applied Biosystems), com desnaturação inicial a 95 ° C por 3 min, seguido por 40 ciclos de 95 ° C por 45 s, 60 ° C por 45 s e 72 ° C por 45 s. A fluorescência SYBR Green emitida foi medida no final de cada incubação a 72 ° C. Os resultados foram analisados ​​através de quantificação relativa, com cálculo de ΔΔCt (2-ΔΔCt), empregando 16S rRNA como gene de referência e o solo inicial como amostra de referência (Yuan et al., 2008). Os cálculos foram realizados usando o StepOne Plus v2. 3 software do equipamento</w:t>
      </w:r>
      <w:r w:rsidR="00AC52A6">
        <w:rPr>
          <w:rFonts w:ascii="Arial" w:hAnsi="Arial" w:cs="Arial"/>
          <w:sz w:val="24"/>
          <w:szCs w:val="24"/>
        </w:rPr>
        <w:t>.</w:t>
      </w:r>
      <w:bookmarkStart w:id="0" w:name="_GoBack"/>
      <w:bookmarkEnd w:id="0"/>
    </w:p>
    <w:p w14:paraId="5C2BFC70" w14:textId="376038E3" w:rsidR="00EB5D80" w:rsidRDefault="00EB5D80" w:rsidP="00EB5D80">
      <w:pPr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Os dados foram expressos como média de três experimentos independentes ± desvios padrão, representados por barras de erro. As análises </w:t>
      </w:r>
      <w:r>
        <w:rPr>
          <w:rFonts w:ascii="Arial" w:hAnsi="Arial" w:cs="Arial"/>
          <w:sz w:val="24"/>
          <w:szCs w:val="24"/>
        </w:rPr>
        <w:lastRenderedPageBreak/>
        <w:t>estatísticas foram realizadas com o programa GraphPad Prism v.6, utilizando ANOVA two-way, seguido do teste post-hoc de Tukey, com nível de significância de p &lt;0,05.</w:t>
      </w:r>
    </w:p>
    <w:p w14:paraId="59FBAE74" w14:textId="77777777" w:rsidR="0060394E" w:rsidRDefault="0060394E"/>
    <w:sectPr w:rsidR="0060394E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0394E"/>
    <w:rsid w:val="0060394E"/>
    <w:rsid w:val="00AC52A6"/>
    <w:rsid w:val="00EB5D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803439"/>
  <w15:chartTrackingRefBased/>
  <w15:docId w15:val="{5A95B1DE-07F5-409D-91FA-01389FE823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B5D80"/>
    <w:pPr>
      <w:spacing w:line="254" w:lineRule="auto"/>
    </w:p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1587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2</Pages>
  <Words>397</Words>
  <Characters>2147</Characters>
  <Application>Microsoft Office Word</Application>
  <DocSecurity>0</DocSecurity>
  <Lines>17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Monica</dc:creator>
  <cp:keywords/>
  <dc:description/>
  <cp:lastModifiedBy>Monica</cp:lastModifiedBy>
  <cp:revision>2</cp:revision>
  <dcterms:created xsi:type="dcterms:W3CDTF">2019-06-28T13:21:00Z</dcterms:created>
  <dcterms:modified xsi:type="dcterms:W3CDTF">2019-06-28T13:41:00Z</dcterms:modified>
</cp:coreProperties>
</file>